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中信建投期货有限公司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普通投资者申请专业投资者评估测试题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after="313" w:afterLines="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投资者名称：_______________    身份证明文件号码：____________________</w:t>
      </w:r>
    </w:p>
    <w:p>
      <w:pPr>
        <w:spacing w:after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答题卡（答对14题及以上为通过测试）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after="157" w:afterLines="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是否通过：_____________     测试时间：_____________    </w:t>
      </w:r>
    </w:p>
    <w:p>
      <w:pPr>
        <w:spacing w:after="157" w:afterLines="5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受理部门：_____________________     经办人：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</w:p>
    <w:p>
      <w:pPr>
        <w:spacing w:after="157" w:afterLines="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题目：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中国人民银行频繁调整存款准备金率的主要目的是（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A．控制货币供应量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B．加强投资需求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C．抑制居民消费需求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D．控制人民币汇率波动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场内金融工具的特点不包括（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A．通常是标准化的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B．在交易所交易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C．有较好的流动性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D．交易成本较高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3、期货价格的基本面分析有着各种不同的方法，其实质是（    ）。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分析影响供求的各种因素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根据历史价格预测未来价格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综合分析交易量和交易价格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分析标的物的内在价值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4、期货交易之所以具有高收益和高风险的特定，是因为它的（    ）。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合约标准化   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交易集中化  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双向交易和对冲机制   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杠杆机制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 xml:space="preserve">股票指数的编制方法不包括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   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A．算术平均法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B．加权平均法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C．几何平均法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D．累乘法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从债券的特征来看，债券区别于股票的最主要的特征是债券具有（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）。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A．偿还性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B．流动性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C．安全性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D．收益性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下列投资风险中，属于系统性风险的是（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A．财务风险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B．信用风险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C．购买力风险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D．经营风险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下列属于基金投资交易过程中的风险是（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A．投资组合风险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B．汇率风险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C．利率风险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D．市场风险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过去一年内基金A的最大回撤为25%，基金B的最大回撤为9%，则以下表述错误的是（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A．过去一年内基金A可实现的最大损失为25%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B．基金A与基金B的最大回撤不可比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C．基金A面临的可能损失比基金B大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D．过去一年内及基金B可实现的最大损失为9%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某基金根据历史数据计算出来的贝塔系数为1.3，以下表述错误的是（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A．该基金的净值变动方向与市场一致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B．当市场上涨1%时，该基金净值上涨幅度为1.3%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C．该基金对市场变化的敏感度不高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D．该基金的净值变动幅度比市场大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4"/>
        </w:rPr>
        <w:t>下列关于“一篮子可交割国债”的说法中，错误的是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A．增强价格的抗操纵性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B．降低交割时的逼仓风险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C．扩大可交割国债的范围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D．将票面利率和剩余期限标准化   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是在期货市场和现货市场之间建立一种盈亏对冲的机制。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套期保值       B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保证金制度       C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实物交割        D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发现价格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sz w:val="24"/>
          <w:szCs w:val="24"/>
        </w:rPr>
        <w:t>企业通过同期保值，可以降低（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）对企业经营活动的影响，实现稳健经营。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A．操作风险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B．法律风险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C．政治风险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D．价格风险   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14、期货合约</w:t>
      </w:r>
      <w:r>
        <w:rPr>
          <w:rFonts w:hint="eastAsia" w:ascii="宋体" w:hAnsi="宋体" w:eastAsia="宋体" w:cs="宋体"/>
          <w:sz w:val="24"/>
          <w:szCs w:val="24"/>
        </w:rPr>
        <w:t>临近交割时，持仓限额及持仓报告标准设置得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B．高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C．根据价格变动情况而定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D．与交割月份远近无关   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</w:t>
      </w:r>
      <w:r>
        <w:rPr>
          <w:rFonts w:hint="eastAsia" w:ascii="宋体" w:hAnsi="宋体" w:eastAsia="宋体" w:cs="宋体"/>
          <w:sz w:val="24"/>
          <w:szCs w:val="24"/>
        </w:rPr>
        <w:t xml:space="preserve">金融期权交易实际上是一种权利的（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）有偿让渡。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A．双方面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B．单方面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C．多方面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D．互相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16、某投资者买入一份看涨期权，在某一时点，该期权的标的资产市场价格大于期权的执行价格，则在此刻该期权是一份（   ）。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A实值期权    B虚值期权       C平值期权        D零值期权 </w:t>
      </w:r>
    </w:p>
    <w:p>
      <w:pPr>
        <w:ind w:firstLine="1201" w:firstLineChars="500"/>
        <w:rPr>
          <w:rFonts w:hint="eastAsia" w:ascii="宋体" w:hAnsi="宋体"/>
          <w:b/>
          <w:bCs/>
          <w:sz w:val="24"/>
          <w:szCs w:val="24"/>
        </w:rPr>
      </w:pPr>
    </w:p>
    <w:p>
      <w:pPr>
        <w:ind w:firstLine="1200" w:firstLineChars="5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ind w:firstLine="1200" w:firstLineChars="500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投资者（自然人/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法定代表人或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授权代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人）签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ind w:firstLine="5520" w:firstLineChars="23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ind w:firstLine="5520" w:firstLineChars="2300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机构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公章：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参考答案：ADADD  ACABC  DADAB  A    答对14题及以上通过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p/>
    <w:p/>
    <w:p/>
    <w:p>
      <w:pPr>
        <w:jc w:val="left"/>
        <w:rPr>
          <w:rFonts w:hint="eastAsia" w:asciiTheme="majorEastAsia" w:hAnsiTheme="majorEastAsia" w:eastAsiaTheme="majorEastAsia"/>
          <w:szCs w:val="21"/>
        </w:rPr>
      </w:pPr>
    </w:p>
    <w:p>
      <w:pPr>
        <w:jc w:val="left"/>
        <w:rPr>
          <w:rFonts w:hint="eastAsia" w:asciiTheme="majorEastAsia" w:hAnsiTheme="majorEastAsia" w:eastAsiaTheme="majorEastAsia"/>
          <w:szCs w:val="21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EB"/>
    <w:rsid w:val="002F2462"/>
    <w:rsid w:val="00951C0C"/>
    <w:rsid w:val="00B157D6"/>
    <w:rsid w:val="00E904EB"/>
    <w:rsid w:val="024A6896"/>
    <w:rsid w:val="06295DEE"/>
    <w:rsid w:val="0AA52654"/>
    <w:rsid w:val="0DA9269B"/>
    <w:rsid w:val="1E3E2D26"/>
    <w:rsid w:val="1EEE0858"/>
    <w:rsid w:val="24F22AE9"/>
    <w:rsid w:val="25F1075D"/>
    <w:rsid w:val="4C1F5A00"/>
    <w:rsid w:val="4E6C5658"/>
    <w:rsid w:val="6EFB4303"/>
    <w:rsid w:val="70952F65"/>
    <w:rsid w:val="7DD806DE"/>
    <w:rsid w:val="7FC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9</TotalTime>
  <ScaleCrop>false</ScaleCrop>
  <LinksUpToDate>false</LinksUpToDate>
  <CharactersWithSpaces>295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2022-01-13T07:09:00Z</dcterms:created>
  <dc:creator>胡理寓</dc:creator>
  <cp:lastModifiedBy>杨玉娇</cp:lastModifiedBy>
  <dcterms:modified xsi:type="dcterms:W3CDTF">2022-10-11T07:55:40Z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A7125F3F1F604F7DBCF079C7CC4B0CDA</vt:lpwstr>
  </property>
</Properties>
</file>